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media/image1.wmf" ContentType="image/x-wmf"/>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Marianne" w:hAnsi="Marianne" w:cs="Marianne"/>
          <w:b/>
        </w:rPr>
      </w:pPr>
      <w:r>
        <w:rPr>
          <w:rFonts w:cs="Marianne" w:ascii="Marianne" w:hAnsi="Marianne"/>
          <w:b/>
          <w:sz w:val="32"/>
        </w:rPr>
        <w:t>ACTE D’ENGAGEMENT</w:t>
      </w:r>
    </w:p>
    <w:p>
      <w:pPr>
        <w:pStyle w:val="Normal"/>
        <w:jc w:val="center"/>
        <w:rPr>
          <w:rFonts w:ascii="Marianne" w:hAnsi="Marianne" w:cs="Marianne"/>
          <w:sz w:val="20"/>
          <w:szCs w:val="20"/>
        </w:rPr>
      </w:pPr>
      <w:r>
        <w:rPr>
          <w:rFonts w:cs="Marianne" w:ascii="Marianne" w:hAnsi="Marianne"/>
          <w:b/>
        </w:rPr>
        <w:t>ENGAGEMENT D’INSERTION</w:t>
      </w:r>
    </w:p>
    <w:p>
      <w:pPr>
        <w:pStyle w:val="Normal"/>
        <w:jc w:val="both"/>
        <w:rPr>
          <w:rFonts w:ascii="Marianne" w:hAnsi="Marianne" w:cs="Marianne"/>
          <w:sz w:val="20"/>
          <w:szCs w:val="20"/>
        </w:rPr>
      </w:pPr>
      <w:r>
        <w:rPr>
          <w:rFonts w:cs="Marianne" w:ascii="Marianne" w:hAnsi="Marianne"/>
          <w:sz w:val="20"/>
          <w:szCs w:val="20"/>
        </w:rPr>
        <w:t>Je soussigné(e),</w:t>
      </w:r>
    </w:p>
    <w:p>
      <w:pPr>
        <w:pStyle w:val="Normal"/>
        <w:jc w:val="both"/>
        <w:rPr>
          <w:rFonts w:ascii="Marianne" w:hAnsi="Marianne" w:eastAsia="Times New Roman" w:cs="Marianne"/>
          <w:sz w:val="20"/>
          <w:szCs w:val="20"/>
        </w:rPr>
      </w:pPr>
      <w:r>
        <w:rPr>
          <w:rFonts w:cs="Marianne" w:ascii="Marianne" w:hAnsi="Marianne"/>
          <w:sz w:val="20"/>
          <w:szCs w:val="20"/>
        </w:rPr>
        <w:t xml:space="preserve">Nom du signataire : </w:t>
      </w:r>
      <w:r>
        <w:rPr>
          <w:rFonts w:eastAsia="Times New Roman" w:cs="Marianne" w:ascii="Marianne" w:hAnsi="Marianne"/>
          <w:color w:val="000000"/>
          <w:sz w:val="20"/>
          <w:szCs w:val="20"/>
        </w:rPr>
        <w:tab/>
      </w:r>
      <w:r>
        <w:rPr>
          <w:rFonts w:eastAsia="Times New Roman" w:cs="Marianne" w:ascii="Marianne" w:hAnsi="Marianne"/>
          <w:sz w:val="20"/>
          <w:szCs w:val="20"/>
          <w:u w:val="single"/>
        </w:rPr>
        <w:tab/>
        <w:tab/>
        <w:tab/>
        <w:tab/>
        <w:tab/>
        <w:tab/>
        <w:tab/>
        <w:tab/>
      </w:r>
    </w:p>
    <w:p>
      <w:pPr>
        <w:pStyle w:val="Normal"/>
        <w:jc w:val="both"/>
        <w:rPr>
          <w:rFonts w:ascii="Marianne" w:hAnsi="Marianne" w:eastAsia="Times New Roman" w:cs="Marianne"/>
          <w:sz w:val="20"/>
          <w:szCs w:val="20"/>
        </w:rPr>
      </w:pPr>
      <w:r>
        <w:rPr>
          <w:rFonts w:eastAsia="Times New Roman" w:cs="Marianne" w:ascii="Marianne" w:hAnsi="Marianne"/>
          <w:sz w:val="20"/>
          <w:szCs w:val="20"/>
        </w:rPr>
        <w:t xml:space="preserve">Prénom : </w:t>
        <w:tab/>
        <w:tab/>
      </w:r>
      <w:r>
        <w:rPr>
          <w:rFonts w:eastAsia="Times New Roman" w:cs="Marianne" w:ascii="Marianne" w:hAnsi="Marianne"/>
          <w:sz w:val="20"/>
          <w:szCs w:val="20"/>
          <w:u w:val="single"/>
        </w:rPr>
        <w:tab/>
        <w:tab/>
        <w:tab/>
        <w:tab/>
        <w:tab/>
        <w:tab/>
        <w:tab/>
        <w:tab/>
      </w:r>
    </w:p>
    <w:p>
      <w:pPr>
        <w:pStyle w:val="Normal"/>
        <w:jc w:val="both"/>
        <w:rPr>
          <w:rFonts w:ascii="Marianne" w:hAnsi="Marianne" w:eastAsia="Times New Roman" w:cs="Marianne"/>
          <w:sz w:val="20"/>
          <w:szCs w:val="20"/>
          <w:u w:val="single"/>
        </w:rPr>
      </w:pPr>
      <w:r>
        <w:rPr>
          <w:rFonts w:eastAsia="Times New Roman" w:cs="Marianne" w:ascii="Marianne" w:hAnsi="Marianne"/>
          <w:sz w:val="20"/>
          <w:szCs w:val="20"/>
        </w:rPr>
        <w:t>Qualité :</w:t>
      </w:r>
    </w:p>
    <w:p>
      <w:pPr>
        <w:pStyle w:val="Normal"/>
        <w:jc w:val="both"/>
        <w:rPr>
          <w:rFonts w:ascii="Marianne" w:hAnsi="Marianne" w:eastAsia="Times New Roman" w:cs="Marianne"/>
          <w:sz w:val="20"/>
          <w:szCs w:val="20"/>
          <w:u w:val="single"/>
        </w:rPr>
      </w:pPr>
      <w:r>
        <w:rPr>
          <w:rFonts w:eastAsia="Times New Roman" w:cs="Marianne" w:ascii="Marianne" w:hAnsi="Marianne"/>
          <w:sz w:val="20"/>
          <w:szCs w:val="20"/>
          <w:u w:val="single"/>
        </w:rPr>
      </w:r>
    </w:p>
    <w:p>
      <w:pPr>
        <w:pStyle w:val="Normal"/>
        <w:jc w:val="both"/>
        <w:rPr>
          <w:rFonts w:ascii="Marianne" w:hAnsi="Marianne" w:eastAsia="Times New Roman" w:cs="Marianne"/>
          <w:sz w:val="20"/>
          <w:szCs w:val="20"/>
        </w:rPr>
      </w:pPr>
      <w:r>
        <w:rPr>
          <w:rFonts w:eastAsia="Times New Roman" w:cs="Marianne" w:ascii="Marianne" w:hAnsi="Marianne"/>
          <w:sz w:val="20"/>
          <w:szCs w:val="20"/>
        </w:rPr>
        <w:t>DECLARE avoir pris connaissance du cahier des clauses administratives particulières et notamment des dispositions relatives à l’action obligatoire d’insertion en faveur des personnes rencontrant des difficultés d’accès ou de retour à l’emploi.</w:t>
      </w:r>
    </w:p>
    <w:p>
      <w:pPr>
        <w:pStyle w:val="Normal"/>
        <w:jc w:val="both"/>
        <w:rPr>
          <w:rFonts w:ascii="Marianne" w:hAnsi="Marianne" w:eastAsia="Times New Roman" w:cs="Marianne"/>
          <w:sz w:val="20"/>
          <w:szCs w:val="20"/>
        </w:rPr>
      </w:pPr>
      <w:r>
        <w:rPr>
          <w:rFonts w:eastAsia="Times New Roman" w:cs="Marianne" w:ascii="Marianne" w:hAnsi="Marianne"/>
          <w:sz w:val="20"/>
          <w:szCs w:val="20"/>
        </w:rPr>
        <w:t>M’ENGAGE, si je suis déclaré attributaire à :</w:t>
      </w:r>
    </w:p>
    <w:p>
      <w:pPr>
        <w:pStyle w:val="Normal"/>
        <w:jc w:val="both"/>
        <w:rPr>
          <w:rFonts w:ascii="Marianne" w:hAnsi="Marianne" w:eastAsia="Times New Roman" w:cs="Marianne"/>
          <w:b/>
          <w:bCs/>
          <w:color w:val="auto"/>
          <w:sz w:val="20"/>
          <w:szCs w:val="20"/>
          <w:lang w:val="fr-FR" w:eastAsia="zh-CN" w:bidi="ar-SA"/>
        </w:rPr>
      </w:pPr>
      <w:r>
        <w:rPr>
          <w:rFonts w:eastAsia="Times New Roman" w:cs="Marianne" w:ascii="Marianne" w:hAnsi="Marianne"/>
          <w:sz w:val="20"/>
          <w:szCs w:val="20"/>
        </w:rPr>
        <w:t>- réserver, sur la durée d’exécution du marché concerné de travail, à des personnes éligibles au dispositif :</w:t>
      </w:r>
    </w:p>
    <w:p>
      <w:pPr>
        <w:pStyle w:val="BodyText"/>
        <w:numPr>
          <w:ilvl w:val="0"/>
          <w:numId w:val="1"/>
        </w:numPr>
        <w:tabs>
          <w:tab w:val="clear" w:pos="708"/>
          <w:tab w:val="left" w:pos="0" w:leader="none"/>
        </w:tabs>
        <w:spacing w:lineRule="auto" w:line="240" w:before="0" w:after="0"/>
        <w:ind w:hanging="283" w:start="720" w:end="0"/>
        <w:jc w:val="both"/>
        <w:rPr>
          <w:rFonts w:ascii="Marianne" w:hAnsi="Marianne" w:eastAsia="Times New Roman" w:cs="Marianne"/>
          <w:b/>
          <w:bCs/>
          <w:color w:val="auto"/>
          <w:sz w:val="20"/>
          <w:szCs w:val="20"/>
          <w:lang w:val="fr-FR" w:eastAsia="zh-CN" w:bidi="ar-SA"/>
        </w:rPr>
      </w:pPr>
      <w:r>
        <w:rPr>
          <w:rFonts w:eastAsia="Times New Roman" w:cs="Marianne" w:ascii="Marianne" w:hAnsi="Marianne"/>
          <w:b/>
          <w:bCs/>
          <w:color w:val="auto"/>
          <w:sz w:val="20"/>
          <w:szCs w:val="20"/>
          <w:lang w:val="fr-FR" w:eastAsia="zh-CN" w:bidi="ar-SA"/>
        </w:rPr>
        <w:t>Soit d’une durée minimale de 4 mois réalisés dans le cas d’un stage ;</w:t>
      </w:r>
    </w:p>
    <w:p>
      <w:pPr>
        <w:pStyle w:val="BodyText"/>
        <w:numPr>
          <w:ilvl w:val="0"/>
          <w:numId w:val="1"/>
        </w:numPr>
        <w:tabs>
          <w:tab w:val="clear" w:pos="708"/>
          <w:tab w:val="left" w:pos="0" w:leader="none"/>
        </w:tabs>
        <w:spacing w:lineRule="auto" w:line="240" w:before="0" w:after="0"/>
        <w:ind w:hanging="283" w:start="720" w:end="0"/>
        <w:jc w:val="both"/>
        <w:rPr>
          <w:rFonts w:ascii="Marianne" w:hAnsi="Marianne" w:eastAsia="Times New Roman" w:cs="Marianne"/>
          <w:b/>
          <w:bCs/>
          <w:color w:val="auto"/>
          <w:sz w:val="20"/>
          <w:szCs w:val="20"/>
          <w:lang w:val="fr-FR" w:eastAsia="zh-CN" w:bidi="ar-SA"/>
        </w:rPr>
      </w:pPr>
      <w:r>
        <w:rPr>
          <w:rFonts w:eastAsia="Times New Roman" w:cs="Marianne" w:ascii="Marianne" w:hAnsi="Marianne"/>
          <w:b/>
          <w:bCs/>
          <w:color w:val="auto"/>
          <w:sz w:val="20"/>
          <w:szCs w:val="20"/>
          <w:lang w:val="fr-FR" w:eastAsia="zh-CN" w:bidi="ar-SA"/>
        </w:rPr>
        <w:t>Soit un minimum de 500 heures d'insertion pour toute autre mesure qu'un stage. Si la formation fait partie du contrat de travail (contrat de professionnalisation, contrat d'apprentissage, etc.), les heures de formation sont comptabilisées au titre des heures d’insertion.</w:t>
      </w:r>
    </w:p>
    <w:p>
      <w:pPr>
        <w:pStyle w:val="BodyText"/>
        <w:numPr>
          <w:ilvl w:val="0"/>
          <w:numId w:val="0"/>
        </w:numPr>
        <w:tabs>
          <w:tab w:val="clear" w:pos="708"/>
          <w:tab w:val="left" w:pos="0" w:leader="none"/>
        </w:tabs>
        <w:spacing w:lineRule="auto" w:line="240" w:before="0" w:after="0"/>
        <w:ind w:hanging="0" w:start="1157" w:end="0"/>
        <w:jc w:val="both"/>
        <w:rPr>
          <w:rFonts w:ascii="Marianne" w:hAnsi="Marianne" w:eastAsia="Times New Roman" w:cs="Marianne"/>
          <w:b/>
          <w:bCs/>
          <w:color w:val="auto"/>
          <w:sz w:val="20"/>
          <w:szCs w:val="20"/>
          <w:lang w:val="fr-FR" w:eastAsia="zh-CN" w:bidi="ar-SA"/>
        </w:rPr>
      </w:pPr>
      <w:r>
        <w:rPr>
          <w:rFonts w:eastAsia="Times New Roman" w:cs="Marianne" w:ascii="Marianne" w:hAnsi="Marianne"/>
          <w:b/>
          <w:bCs/>
          <w:color w:val="auto"/>
          <w:sz w:val="20"/>
          <w:szCs w:val="20"/>
          <w:lang w:val="fr-FR" w:eastAsia="zh-CN" w:bidi="ar-SA"/>
        </w:rPr>
      </w:r>
    </w:p>
    <w:p>
      <w:pPr>
        <w:pStyle w:val="Normal"/>
        <w:jc w:val="both"/>
        <w:rPr>
          <w:rFonts w:ascii="Marianne" w:hAnsi="Marianne" w:eastAsia="Times New Roman" w:cs="Marianne"/>
          <w:sz w:val="20"/>
          <w:szCs w:val="20"/>
        </w:rPr>
      </w:pPr>
      <w:r>
        <w:rPr>
          <w:rFonts w:eastAsia="Times New Roman" w:cs="Marianne" w:ascii="Marianne" w:hAnsi="Marianne"/>
          <w:sz w:val="20"/>
          <w:szCs w:val="20"/>
        </w:rPr>
        <w:t>- prendre contact avec le facilitateur des clauses sociales désigné dans le cahier des clauses administratives particulières, afin de préciser les modalités de mise en œuvre de la clause sociale.</w:t>
      </w:r>
    </w:p>
    <w:p>
      <w:pPr>
        <w:pStyle w:val="Normal"/>
        <w:jc w:val="both"/>
        <w:rPr>
          <w:rFonts w:ascii="Marianne" w:hAnsi="Marianne" w:eastAsia="Times New Roman" w:cs="Marianne"/>
          <w:sz w:val="20"/>
          <w:szCs w:val="20"/>
        </w:rPr>
      </w:pPr>
      <w:r>
        <w:rPr>
          <w:rFonts w:eastAsia="Times New Roman" w:cs="Marianne" w:ascii="Marianne" w:hAnsi="Marianne"/>
          <w:sz w:val="20"/>
          <w:szCs w:val="20"/>
        </w:rPr>
        <w:t>- fournir, à la demande de ce même facilitateur, toutes informations ou pièces utiles au contrôle de la réalisation de l’action d’insertion.</w:t>
      </w:r>
    </w:p>
    <w:p>
      <w:pPr>
        <w:pStyle w:val="Normal"/>
        <w:jc w:val="both"/>
        <w:rPr>
          <w:rFonts w:ascii="Marianne" w:hAnsi="Marianne" w:eastAsia="Times New Roman" w:cs="Marianne"/>
          <w:sz w:val="20"/>
          <w:szCs w:val="20"/>
        </w:rPr>
      </w:pPr>
      <w:r>
        <w:rPr>
          <w:rFonts w:eastAsia="Times New Roman" w:cs="Marianne" w:ascii="Marianne" w:hAnsi="Marianne"/>
          <w:sz w:val="20"/>
          <w:szCs w:val="20"/>
        </w:rPr>
      </w:r>
    </w:p>
    <w:p>
      <w:pPr>
        <w:pStyle w:val="Normal"/>
        <w:rPr>
          <w:rFonts w:ascii="Marianne" w:hAnsi="Marianne" w:eastAsia="Times New Roman" w:cs="Marianne"/>
          <w:sz w:val="20"/>
          <w:szCs w:val="20"/>
        </w:rPr>
      </w:pPr>
      <w:r>
        <w:rPr>
          <w:rFonts w:eastAsia="Times New Roman" w:cs="Marianne" w:ascii="Marianne" w:hAnsi="Marianne"/>
          <w:sz w:val="20"/>
          <w:szCs w:val="20"/>
        </w:rPr>
        <w:tab/>
        <w:tab/>
        <w:tab/>
        <w:tab/>
        <w:tab/>
        <w:tab/>
        <w:t>Pour le titulaire,</w:t>
      </w:r>
    </w:p>
    <w:p>
      <w:pPr>
        <w:pStyle w:val="Normal"/>
        <w:rPr>
          <w:rFonts w:ascii="Marianne" w:hAnsi="Marianne" w:eastAsia="Times New Roman" w:cs="Marianne"/>
          <w:sz w:val="20"/>
          <w:szCs w:val="20"/>
        </w:rPr>
      </w:pPr>
      <w:r>
        <w:rPr>
          <w:rFonts w:eastAsia="Times New Roman" w:cs="Marianne" w:ascii="Marianne" w:hAnsi="Marianne"/>
          <w:sz w:val="20"/>
          <w:szCs w:val="20"/>
        </w:rPr>
        <w:tab/>
        <w:tab/>
        <w:tab/>
        <w:tab/>
        <w:tab/>
        <w:tab/>
        <w:t>(Signature et cachet)</w:t>
      </w:r>
    </w:p>
    <w:p>
      <w:pPr>
        <w:pStyle w:val="Normal"/>
        <w:spacing w:before="0" w:after="200"/>
        <w:rPr>
          <w:rFonts w:ascii="Marianne" w:hAnsi="Marianne" w:eastAsia="Times New Roman" w:cs="Marianne"/>
          <w:sz w:val="20"/>
          <w:szCs w:val="20"/>
        </w:rPr>
      </w:pPr>
      <w:r>
        <w:rPr>
          <w:rFonts w:eastAsia="Times New Roman" w:cs="Marianne" w:ascii="Marianne" w:hAnsi="Marianne"/>
          <w:sz w:val="20"/>
          <w:szCs w:val="20"/>
        </w:rPr>
      </w:r>
    </w:p>
    <w:sectPr>
      <w:headerReference w:type="default" r:id="rId2"/>
      <w:footerReference w:type="default" r:id="rId3"/>
      <w:type w:val="nextPage"/>
      <w:pgSz w:w="11906" w:h="16838"/>
      <w:pgMar w:left="1417" w:right="707" w:gutter="0" w:header="708"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1"/>
    <w:family w:val="auto"/>
    <w:pitch w:val="default"/>
  </w:font>
  <w:font w:name="Calibri">
    <w:charset w:val="00" w:characterSet="windows-1252"/>
    <w:family w:val="swiss"/>
    <w:pitch w:val="variable"/>
  </w:font>
  <w:font w:name="Symbol">
    <w:charset w:val="02"/>
    <w:family w:val="auto"/>
    <w:pitch w:val="default"/>
  </w:font>
  <w:font w:name="Courier New">
    <w:charset w:val="00" w:characterSet="windows-1252"/>
    <w:family w:val="modern"/>
    <w:pitch w:val="default"/>
  </w:font>
  <w:font w:name="Wingdings">
    <w:charset w:val="02"/>
    <w:family w:val="auto"/>
    <w:pitch w:val="variable"/>
  </w:font>
  <w:font w:name="Century Gothic">
    <w:charset w:val="00" w:characterSet="windows-1252"/>
    <w:family w:val="swiss"/>
    <w:pitch w:val="variable"/>
  </w:font>
  <w:font w:name="OpenSymbol">
    <w:altName w:val="Arial Unicode MS"/>
    <w:charset w:val="02"/>
    <w:family w:val="auto"/>
    <w:pitch w:val="default"/>
  </w:font>
  <w:font w:name="Liberation Sans">
    <w:altName w:val="Arial"/>
    <w:charset w:val="00" w:characterSet="windows-1252"/>
    <w:family w:val="swiss"/>
    <w:pitch w:val="variable"/>
  </w:font>
  <w:font w:name="Marianne">
    <w:charset w:val="01"/>
    <w:family w:val="modern"/>
    <w:pitch w:val="variable"/>
  </w:font>
  <w:font w:name="Marianne">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left" w:pos="1755" w:leader="none"/>
      </w:tabs>
      <w:spacing w:before="0" w:after="20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9072"/>
        <w:tab w:val="left" w:pos="-284" w:leader="none"/>
        <w:tab w:val="center" w:pos="4536" w:leader="none"/>
        <w:tab w:val="right" w:pos="9782" w:leader="none"/>
      </w:tabs>
      <w:spacing w:before="0" w:after="0"/>
      <w:ind w:start="-567" w:end="0"/>
      <w:rPr/>
    </w:pPr>
    <w:r>
      <w:rPr/>
      <w:tab/>
    </w:r>
  </w:p>
  <w:tbl>
    <w:tblPr>
      <w:tblW w:w="9979" w:type="dxa"/>
      <w:jc w:val="start"/>
      <w:tblInd w:w="-183" w:type="dxa"/>
      <w:tblLayout w:type="fixed"/>
      <w:tblCellMar>
        <w:top w:w="0" w:type="dxa"/>
        <w:start w:w="108" w:type="dxa"/>
        <w:bottom w:w="0" w:type="dxa"/>
        <w:end w:w="108" w:type="dxa"/>
      </w:tblCellMar>
    </w:tblPr>
    <w:tblGrid>
      <w:gridCol w:w="4208"/>
      <w:gridCol w:w="5771"/>
    </w:tblGrid>
    <w:tr>
      <w:trPr>
        <w:trHeight w:val="3120" w:hRule="atLeast"/>
      </w:trPr>
      <w:tc>
        <w:tcPr>
          <w:tcW w:w="4208" w:type="dxa"/>
          <w:tcBorders>
            <w:top w:val="single" w:sz="4" w:space="0" w:color="000000"/>
            <w:start w:val="single" w:sz="4" w:space="0" w:color="000000"/>
            <w:bottom w:val="single" w:sz="4" w:space="0" w:color="000000"/>
          </w:tcBorders>
        </w:tcPr>
        <w:p>
          <w:pPr>
            <w:pStyle w:val="Normal"/>
            <w:pageBreakBefore/>
            <w:widowControl w:val="false"/>
            <w:spacing w:before="0" w:after="200"/>
            <w:rPr>
              <w:rFonts w:ascii="Marianne" w:hAnsi="Marianne" w:eastAsia="Marianne" w:cs="Marianne"/>
              <w:b/>
              <w:bCs/>
              <w:sz w:val="26"/>
              <w:szCs w:val="26"/>
            </w:rPr>
          </w:pPr>
          <w:r>
            <w:rPr/>
            <w:drawing>
              <wp:inline distT="0" distB="0" distL="0" distR="0">
                <wp:extent cx="2510155" cy="201168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rcRect l="-145" t="-189" r="-145" b="-189"/>
                        <a:stretch>
                          <a:fillRect/>
                        </a:stretch>
                      </pic:blipFill>
                      <pic:spPr bwMode="auto">
                        <a:xfrm>
                          <a:off x="0" y="0"/>
                          <a:ext cx="2510155" cy="2011680"/>
                        </a:xfrm>
                        <a:prstGeom prst="rect">
                          <a:avLst/>
                        </a:prstGeom>
                        <a:noFill/>
                      </pic:spPr>
                    </pic:pic>
                  </a:graphicData>
                </a:graphic>
              </wp:inline>
            </w:drawing>
          </w:r>
        </w:p>
      </w:tc>
      <w:tc>
        <w:tcPr>
          <w:tcW w:w="5771" w:type="dxa"/>
          <w:tcBorders>
            <w:top w:val="single" w:sz="4" w:space="0" w:color="000000"/>
            <w:start w:val="single" w:sz="4" w:space="0" w:color="000000"/>
            <w:bottom w:val="single" w:sz="4" w:space="0" w:color="000000"/>
            <w:end w:val="single" w:sz="4" w:space="0" w:color="000000"/>
          </w:tcBorders>
        </w:tcPr>
        <w:p>
          <w:pPr>
            <w:pStyle w:val="Normal"/>
            <w:widowControl w:val="false"/>
            <w:jc w:val="end"/>
            <w:rPr>
              <w:rFonts w:ascii="Marianne" w:hAnsi="Marianne" w:eastAsia="Marianne" w:cs="Marianne"/>
              <w:b/>
              <w:bCs/>
              <w:sz w:val="26"/>
              <w:szCs w:val="26"/>
            </w:rPr>
          </w:pPr>
          <w:r>
            <w:rPr>
              <w:rFonts w:eastAsia="Marianne" w:cs="Marianne" w:ascii="Marianne" w:hAnsi="Marianne"/>
              <w:b/>
              <w:bCs/>
              <w:sz w:val="26"/>
              <w:szCs w:val="26"/>
            </w:rPr>
            <w:t>Secrétariat général</w:t>
          </w:r>
        </w:p>
        <w:p>
          <w:pPr>
            <w:pStyle w:val="Normal"/>
            <w:widowControl w:val="false"/>
            <w:spacing w:before="280" w:after="0"/>
            <w:jc w:val="end"/>
            <w:rPr>
              <w:rFonts w:ascii="Marianne" w:hAnsi="Marianne" w:cs="Marianne"/>
              <w:sz w:val="26"/>
              <w:szCs w:val="26"/>
            </w:rPr>
          </w:pPr>
          <w:r>
            <w:rPr>
              <w:rFonts w:eastAsia="Marianne" w:cs="Marianne" w:ascii="Marianne" w:hAnsi="Marianne"/>
              <w:b/>
              <w:bCs/>
              <w:sz w:val="26"/>
              <w:szCs w:val="26"/>
            </w:rPr>
            <w:t>de la zone de défense et de sécurité Sud</w:t>
          </w:r>
        </w:p>
        <w:p>
          <w:pPr>
            <w:pStyle w:val="Normal"/>
            <w:widowControl w:val="false"/>
            <w:spacing w:before="280" w:after="0"/>
            <w:jc w:val="end"/>
            <w:rPr>
              <w:rFonts w:ascii="Marianne" w:hAnsi="Marianne" w:cs="Marianne"/>
              <w:sz w:val="26"/>
              <w:szCs w:val="26"/>
            </w:rPr>
          </w:pPr>
          <w:r>
            <w:rPr>
              <w:rFonts w:cs="Marianne" w:ascii="Marianne" w:hAnsi="Marianne"/>
              <w:sz w:val="26"/>
              <w:szCs w:val="26"/>
            </w:rPr>
          </w:r>
        </w:p>
        <w:p>
          <w:pPr>
            <w:pStyle w:val="Normal"/>
            <w:widowControl w:val="false"/>
            <w:spacing w:before="280" w:after="0"/>
            <w:jc w:val="end"/>
            <w:rPr>
              <w:rFonts w:ascii="Marianne" w:hAnsi="Marianne" w:eastAsia="Marianne" w:cs="Marianne"/>
              <w:sz w:val="26"/>
              <w:szCs w:val="26"/>
            </w:rPr>
          </w:pPr>
          <w:r>
            <w:rPr>
              <w:rFonts w:eastAsia="Marianne" w:cs="Marianne" w:ascii="Marianne" w:hAnsi="Marianne"/>
              <w:sz w:val="26"/>
              <w:szCs w:val="26"/>
            </w:rPr>
            <w:t>Secrétariat général pour l’administration</w:t>
          </w:r>
        </w:p>
        <w:p>
          <w:pPr>
            <w:pStyle w:val="Normal"/>
            <w:widowControl w:val="false"/>
            <w:spacing w:before="280" w:after="0"/>
            <w:jc w:val="end"/>
            <w:rPr>
              <w:rFonts w:ascii="Marianne" w:hAnsi="Marianne" w:eastAsia="Marianne" w:cs="Marianne"/>
              <w:sz w:val="26"/>
              <w:szCs w:val="26"/>
            </w:rPr>
          </w:pPr>
          <w:r>
            <w:rPr>
              <w:rFonts w:eastAsia="Marianne" w:cs="Marianne" w:ascii="Marianne" w:hAnsi="Marianne"/>
              <w:sz w:val="26"/>
              <w:szCs w:val="26"/>
            </w:rPr>
            <w:t>du ministère de l’Intérieur Sud</w:t>
          </w:r>
        </w:p>
      </w:tc>
    </w:tr>
  </w:tbl>
  <w:p>
    <w:pPr>
      <w:pStyle w:val="Header"/>
      <w:tabs>
        <w:tab w:val="clear" w:pos="9072"/>
        <w:tab w:val="left" w:pos="-284" w:leader="none"/>
        <w:tab w:val="center" w:pos="4536" w:leader="none"/>
        <w:tab w:val="right" w:pos="9782" w:leader="none"/>
      </w:tabs>
      <w:spacing w:before="0" w:after="0"/>
      <w:ind w:start="-567" w:end="0"/>
      <w:rPr/>
    </w:pPr>
    <w:r>
      <w:rPr/>
      <w:tab/>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20"/>
        </w:tabs>
        <w:ind w:start="720" w:hanging="283"/>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90"/>
  <w:defaultTabStop w:val="708"/>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lineRule="auto" w:line="276" w:before="0" w:after="200"/>
    </w:pPr>
    <w:rPr>
      <w:rFonts w:ascii="Calibri" w:hAnsi="Calibri" w:eastAsia="Calibri" w:cs="Times New Roman"/>
      <w:color w:val="auto"/>
      <w:sz w:val="22"/>
      <w:szCs w:val="22"/>
      <w:lang w:val="fr-FR" w:eastAsia="zh-CN" w:bidi="ar-SA"/>
    </w:rPr>
  </w:style>
  <w:style w:type="character" w:styleId="WW8Num1z0">
    <w:name w:val="WW8Num1z0"/>
    <w:qFormat/>
    <w:rPr>
      <w:rFonts w:ascii="Symbol" w:hAnsi="Symbol" w:cs="OpenSymbol;Arial Unicode MS"/>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2z0">
    <w:name w:val="WW8Num2z0"/>
    <w:qFormat/>
    <w:rPr>
      <w:rFonts w:ascii="Arial" w:hAnsi="Arial" w:eastAsia="Calibri" w:cs="Arial"/>
      <w:sz w:val="22"/>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Arial" w:hAnsi="Arial" w:eastAsia="Calibri" w:cs="Aria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Arial" w:hAnsi="Arial" w:eastAsia="Calibri" w:cs="Aria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rFonts w:ascii="Wingdings" w:hAnsi="Wingdings" w:eastAsia="Calibri" w:cs="Aria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Century Gothic" w:hAnsi="Century Gothic" w:eastAsia="Calibri" w:cs="Times New Roman"/>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Arial" w:hAnsi="Arial" w:eastAsia="Calibri" w:cs="Aria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1z3">
    <w:name w:val="WW8Num11z3"/>
    <w:qFormat/>
    <w:rPr>
      <w:rFonts w:ascii="Symbol" w:hAnsi="Symbol" w:cs="Symbol"/>
    </w:rPr>
  </w:style>
  <w:style w:type="character" w:styleId="WW8Num12z0">
    <w:name w:val="WW8Num12z0"/>
    <w:qFormat/>
    <w:rPr>
      <w:rFonts w:ascii="Symbol" w:hAnsi="Symbol" w:cs="Symbol"/>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0">
    <w:name w:val="WW8Num13z0"/>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Policepardfaut">
    <w:name w:val="Police par défaut"/>
    <w:qFormat/>
    <w:rPr/>
  </w:style>
  <w:style w:type="character" w:styleId="En-tteCar">
    <w:name w:val="En-tête Car"/>
    <w:qFormat/>
    <w:rPr>
      <w:sz w:val="22"/>
      <w:szCs w:val="22"/>
    </w:rPr>
  </w:style>
  <w:style w:type="character" w:styleId="PieddepageCar">
    <w:name w:val="Pied de page Car"/>
    <w:qFormat/>
    <w:rPr>
      <w:sz w:val="22"/>
      <w:szCs w:val="22"/>
    </w:rPr>
  </w:style>
  <w:style w:type="character" w:styleId="Hyperlink">
    <w:name w:val="Hyperlink"/>
    <w:rPr>
      <w:color w:val="0000FF"/>
      <w:u w:val="single"/>
    </w:rPr>
  </w:style>
  <w:style w:type="character" w:styleId="Puces">
    <w:name w:val="Puces"/>
    <w:qFormat/>
    <w:rPr>
      <w:rFonts w:ascii="OpenSymbol;Arial Unicode MS" w:hAnsi="OpenSymbol;Arial Unicode MS" w:eastAsia="OpenSymbol;Arial Unicode MS" w:cs="OpenSymbol;Arial Unicode MS"/>
    </w:rPr>
  </w:style>
  <w:style w:type="paragraph" w:styleId="Titre">
    <w:name w:val="Titre"/>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cs="Arial"/>
    </w:rPr>
  </w:style>
  <w:style w:type="paragraph" w:styleId="caption1">
    <w:name w:val="caption1"/>
    <w:basedOn w:val="Normal"/>
    <w:qFormat/>
    <w:pPr>
      <w:suppressLineNumbers/>
      <w:spacing w:before="120" w:after="120"/>
    </w:pPr>
    <w:rPr>
      <w:rFonts w:ascii="Marianne" w:hAnsi="Marianne" w:cs="Arial"/>
      <w:i/>
      <w:iCs/>
      <w:sz w:val="24"/>
      <w:szCs w:val="24"/>
    </w:rPr>
  </w:style>
  <w:style w:type="paragraph" w:styleId="caption11">
    <w:name w:val="caption11"/>
    <w:basedOn w:val="Normal"/>
    <w:qFormat/>
    <w:pPr>
      <w:suppressLineNumbers/>
      <w:spacing w:before="120" w:after="120"/>
    </w:pPr>
    <w:rPr>
      <w:rFonts w:ascii="Marianne" w:hAnsi="Marianne" w:cs="Arial"/>
      <w:i/>
      <w:iCs/>
      <w:sz w:val="24"/>
      <w:szCs w:val="24"/>
    </w:rPr>
  </w:style>
  <w:style w:type="paragraph" w:styleId="caption111">
    <w:name w:val="caption111"/>
    <w:basedOn w:val="Normal"/>
    <w:qFormat/>
    <w:pPr>
      <w:suppressLineNumbers/>
      <w:spacing w:before="120" w:after="120"/>
    </w:pPr>
    <w:rPr>
      <w:rFonts w:ascii="Marianne" w:hAnsi="Marianne" w:cs="Arial"/>
      <w:i/>
      <w:iCs/>
      <w:sz w:val="24"/>
      <w:szCs w:val="24"/>
    </w:rPr>
  </w:style>
  <w:style w:type="paragraph" w:styleId="Caption1111">
    <w:name w:val="Caption1111"/>
    <w:basedOn w:val="Normal"/>
    <w:qFormat/>
    <w:pPr>
      <w:suppressLineNumbers/>
      <w:spacing w:before="120" w:after="120"/>
    </w:pPr>
    <w:rPr>
      <w:rFonts w:cs="Arial"/>
      <w:i/>
      <w:iCs/>
      <w:sz w:val="24"/>
      <w:szCs w:val="24"/>
    </w:rPr>
  </w:style>
  <w:style w:type="paragraph" w:styleId="Paragraphedeliste">
    <w:name w:val="Paragraphe de liste"/>
    <w:basedOn w:val="Normal"/>
    <w:qFormat/>
    <w:pPr>
      <w:spacing w:before="0" w:after="200"/>
      <w:ind w:hanging="0" w:start="720" w:end="0"/>
      <w:contextualSpacing/>
    </w:pPr>
    <w:rPr/>
  </w:style>
  <w:style w:type="paragraph" w:styleId="En-tteetpieddepage">
    <w:name w:val="En-tête et pied de page"/>
    <w:basedOn w:val="Normal"/>
    <w:qFormat/>
    <w:pPr>
      <w:suppressLineNumbers/>
      <w:tabs>
        <w:tab w:val="clear" w:pos="708"/>
        <w:tab w:val="center" w:pos="4819" w:leader="none"/>
        <w:tab w:val="right" w:pos="9638" w:leader="none"/>
      </w:tabs>
    </w:pPr>
    <w:rPr/>
  </w:style>
  <w:style w:type="paragraph" w:styleId="HeaderandFooter">
    <w:name w:val="Header and Footer"/>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pPr>
      <w:tabs>
        <w:tab w:val="clear" w:pos="708"/>
        <w:tab w:val="center" w:pos="4536" w:leader="none"/>
        <w:tab w:val="right" w:pos="9072" w:leader="none"/>
      </w:tabs>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Pages>
  <Words>205</Words>
  <Characters>1151</Characters>
  <CharactersWithSpaces>1371</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_x0000__x0000__x0000_</vt:lpwstr>
  </property>
  <property fmtid="{D5CDD505-2E9C-101B-9397-08002B2CF9AE}" pid="3" name="Order">
    <vt:lpwstr>28656400.0000000_x0000__x0000__x0000_</vt:lpwstr>
  </property>
  <property fmtid="{D5CDD505-2E9C-101B-9397-08002B2CF9AE}" pid="4" name="TaxCatchAll">
    <vt:lpwstr>_x0000__x0000__x0000_</vt:lpwstr>
  </property>
  <property fmtid="{D5CDD505-2E9C-101B-9397-08002B2CF9AE}" pid="5" name="lcf76f155ced4ddcb4097134ff3c332f">
    <vt:lpwstr>_x0000__x0000__x0000_</vt:lpwstr>
  </property>
</Properties>
</file>